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spacing w:line="360" w:lineRule="auto"/>
        <w:ind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美术与设计学院学生素质综合测评补充条例（试行）</w:t>
      </w:r>
    </w:p>
    <w:p>
      <w:pPr>
        <w:pStyle w:val="000001"/>
        <w:spacing w:line="360" w:lineRule="auto"/>
        <w:ind/>
        <w:jc w:val="center"/>
        <w:rPr>
          <w:rFonts w:hint="eastAsia" w:ascii="宋体" w:hAnsi="宋体"/>
          <w:b/>
          <w:szCs w:val="21"/>
        </w:rPr>
      </w:pPr>
    </w:p>
    <w:p>
      <w:pPr>
        <w:pStyle w:val="000001"/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按照《常州大学学生素质综合测评体系实施暂行办法（试行）》文件精神，结合美术与设计学院学生培养目标与专业特色，特制订美术与设计学院学生素质综合测评补充条例，具体内容如下：</w:t>
      </w:r>
    </w:p>
    <w:p>
      <w:pPr>
        <w:pStyle w:val="000001"/>
        <w:spacing w:line="360" w:lineRule="auto"/>
        <w:ind w:firstLine="723" w:firstLineChars="300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一、创新创业与科研能力加分</w:t>
      </w: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833"/>
        <w:gridCol w:w="1147"/>
        <w:gridCol w:w="1704"/>
        <w:gridCol w:w="1596"/>
        <w:gridCol w:w="4440"/>
      </w:tblGrid>
      <w:tr>
        <w:trPr>
          <w:wBefore/>
          <w:cantSplit/>
          <w:trHeight w:val="584" w:hRule="atLeast"/>
        </w:trPr>
        <w:tc>
          <w:tcPr>
            <w:tcW w:w="833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851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级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评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440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注</w:t>
            </w:r>
          </w:p>
        </w:tc>
      </w:tr>
      <w:tr>
        <w:trPr>
          <w:wBefore/>
          <w:cantSplit/>
          <w:trHeight w:val="584" w:hRule="atLeast"/>
        </w:trPr>
        <w:tc>
          <w:tcPr>
            <w:tcW w:w="833" w:type="dxa"/>
            <w:vMerge w:val="restart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专业技能获奖</w:t>
            </w:r>
          </w:p>
        </w:tc>
        <w:tc>
          <w:tcPr>
            <w:tcW w:w="2851" w:type="dxa"/>
            <w:gridSpan w:val="2"/>
            <w:textDirection w:val="lrTb"/>
            <w:vAlign w:val="top"/>
          </w:tcPr>
          <w:p>
            <w:pPr>
              <w:pStyle w:val="000001"/>
              <w:spacing w:line="340" w:lineRule="atLeast"/>
              <w:ind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全国专业竞赛、展演一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等次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/二等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/三等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次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5/4/3</w:t>
            </w:r>
          </w:p>
        </w:tc>
        <w:tc>
          <w:tcPr>
            <w:tcW w:w="4440" w:type="dxa"/>
            <w:vMerge w:val="restart"/>
            <w:textDirection w:val="lrTb"/>
            <w:vAlign w:val="top"/>
          </w:tcPr>
          <w:p>
            <w:pPr>
              <w:pStyle w:val="000001"/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instrText xml:space="preserve"> = 1 \* GB3 </w:instrTex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①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I级甲等系数为1.5，I级乙等系数为1.2，I级丙等系数为1.0。</w:t>
            </w:r>
          </w:p>
          <w:p>
            <w:pPr>
              <w:pStyle w:val="000001"/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②省级以上的专业竞赛、展演只认可省教育厅、美协、书协等权威机构举办的竞赛，获奖的证明材料的认定以公章为准。</w:t>
            </w:r>
          </w:p>
          <w:p>
            <w:pPr>
              <w:pStyle w:val="000001"/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③获奖级别若等同一、二、三等，按照一、二、三等加分。优秀、鼓励类奖项按照三等奖减半加分。</w:t>
            </w:r>
          </w:p>
          <w:p>
            <w:pPr>
              <w:pStyle w:val="000001"/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④获得非权威机构举办的与专业相关的比赛奖项，其级别由学院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综合测评评定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小组认定。</w:t>
            </w:r>
          </w:p>
          <w:p>
            <w:pPr>
              <w:pStyle w:val="000001"/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⑤竞赛获奖加分需提供获奖证书复印件作为凭证。论文发表加分需提供刊物复印件作为凭证。</w:t>
            </w:r>
          </w:p>
          <w:p>
            <w:pPr>
              <w:pStyle w:val="000001"/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instrText xml:space="preserve"> = 6 \* GB3 </w:instrTex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⑥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学术性论文被评人需为第一作者，若导师任第一作者、本人为第二作者时，减半加分。</w:t>
            </w:r>
          </w:p>
          <w:p>
            <w:pPr>
              <w:pStyle w:val="000001"/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⑦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I级甲等竞赛活动加分按证书名字先后递减（100%、90%、80%、70%、60%，6名及以后均按6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0%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计），有实际参加但未能列入获奖证书学生，由组织院系出具相关证明，则以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同级优秀奖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加分标准5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0%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执行。其他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合作项目加分（4人以内）按证书名字先后递减（40%、30%、30%），总加分不得超过所得奖项加分。</w:t>
            </w:r>
          </w:p>
          <w:p>
            <w:pPr>
              <w:pStyle w:val="000001"/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⑧学术性论文级别由学院科研秘书认定。</w:t>
            </w:r>
          </w:p>
          <w:p>
            <w:pPr>
              <w:pStyle w:val="000001"/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⑨省级期刊论文，每人最多认定两篇。发表非专业论文在原基础上降一级。</w:t>
            </w:r>
          </w:p>
          <w:p>
            <w:pPr>
              <w:pStyle w:val="000001"/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⑩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公开发明专利须有公开号。</w:t>
            </w:r>
          </w:p>
        </w:tc>
      </w:tr>
      <w:tr>
        <w:trPr>
          <w:wBefore/>
          <w:cantSplit/>
          <w:trHeight w:val="584" w:hRule="atLeast"/>
        </w:trPr>
        <w:tc>
          <w:tcPr>
            <w:tcW w:w="833" w:type="dxa"/>
            <w:vMerge w:val="continue"/>
            <w:textDirection w:val="lrTb"/>
            <w:vAlign w:val="center"/>
          </w:tcPr>
          <w:p>
            <w:pPr>
              <w:pStyle w:val="000001"/>
              <w:spacing w:line="3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1" w:type="dxa"/>
            <w:gridSpan w:val="2"/>
            <w:textDirection w:val="lrTb"/>
            <w:vAlign w:val="top"/>
          </w:tcPr>
          <w:p>
            <w:pPr>
              <w:pStyle w:val="000001"/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省级专业竞赛、展演一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等次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/二等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/三等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次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3/2.6/2.2</w:t>
            </w:r>
          </w:p>
        </w:tc>
        <w:tc>
          <w:tcPr>
            <w:tcW w:w="4440" w:type="dxa"/>
            <w:vMerge w:val="continue"/>
            <w:textDirection w:val="lrTb"/>
            <w:vAlign w:val="top"/>
          </w:tcPr>
          <w:p>
            <w:pPr>
              <w:pStyle w:val="000001"/>
              <w:spacing w:line="34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wBefore/>
          <w:cantSplit/>
          <w:trHeight w:val="584" w:hRule="atLeast"/>
        </w:trPr>
        <w:tc>
          <w:tcPr>
            <w:tcW w:w="833" w:type="dxa"/>
            <w:vMerge w:val="continue"/>
            <w:textDirection w:val="lrTb"/>
            <w:vAlign w:val="center"/>
          </w:tcPr>
          <w:p>
            <w:pPr>
              <w:pStyle w:val="000001"/>
              <w:spacing w:line="3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1" w:type="dxa"/>
            <w:gridSpan w:val="2"/>
            <w:textDirection w:val="lrTb"/>
            <w:vAlign w:val="top"/>
          </w:tcPr>
          <w:p>
            <w:pPr>
              <w:pStyle w:val="000001"/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市级、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校级专业竞赛、展演一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等次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/二等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次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/三等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次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1.8/1.4/1.2</w:t>
            </w:r>
          </w:p>
        </w:tc>
        <w:tc>
          <w:tcPr>
            <w:tcW w:w="4440" w:type="dxa"/>
            <w:vMerge w:val="continue"/>
            <w:textDirection w:val="lrTb"/>
            <w:vAlign w:val="top"/>
          </w:tcPr>
          <w:p>
            <w:pPr>
              <w:pStyle w:val="000001"/>
              <w:spacing w:line="34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wBefore/>
          <w:cantSplit/>
          <w:trHeight w:val="584" w:hRule="atLeast"/>
        </w:trPr>
        <w:tc>
          <w:tcPr>
            <w:tcW w:w="833" w:type="dxa"/>
            <w:vMerge w:val="continue"/>
            <w:textDirection w:val="lrTb"/>
            <w:vAlign w:val="center"/>
          </w:tcPr>
          <w:p>
            <w:pPr>
              <w:pStyle w:val="000001"/>
              <w:spacing w:line="3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vMerge w:val="restart"/>
            <w:textDirection w:val="lrTb"/>
            <w:vAlign w:val="top"/>
          </w:tcPr>
          <w:p>
            <w:pPr>
              <w:pStyle w:val="000001"/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4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CSSCI刊物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4440" w:type="dxa"/>
            <w:vMerge w:val="continue"/>
            <w:textDirection w:val="lrTb"/>
            <w:vAlign w:val="top"/>
          </w:tcPr>
          <w:p>
            <w:pPr>
              <w:pStyle w:val="000001"/>
              <w:spacing w:line="34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wBefore/>
          <w:cantSplit/>
          <w:trHeight w:val="584" w:hRule="atLeast"/>
        </w:trPr>
        <w:tc>
          <w:tcPr>
            <w:tcW w:w="833" w:type="dxa"/>
            <w:vMerge w:val="continue"/>
            <w:textDirection w:val="lrTb"/>
            <w:vAlign w:val="center"/>
          </w:tcPr>
          <w:p>
            <w:pPr>
              <w:pStyle w:val="000001"/>
              <w:spacing w:line="3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textDirection w:val="lrTb"/>
            <w:vAlign w:val="top"/>
          </w:tcPr>
          <w:p>
            <w:pPr>
              <w:pStyle w:val="000001"/>
              <w:spacing w:line="34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4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核心期刊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2.5</w:t>
            </w:r>
          </w:p>
        </w:tc>
        <w:tc>
          <w:tcPr>
            <w:tcW w:w="4440" w:type="dxa"/>
            <w:vMerge w:val="continue"/>
            <w:textDirection w:val="lrTb"/>
            <w:vAlign w:val="top"/>
          </w:tcPr>
          <w:p>
            <w:pPr>
              <w:pStyle w:val="000001"/>
              <w:spacing w:line="34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wBefore/>
          <w:cantSplit/>
          <w:trHeight w:val="584" w:hRule="atLeast"/>
        </w:trPr>
        <w:tc>
          <w:tcPr>
            <w:tcW w:w="833" w:type="dxa"/>
            <w:vMerge w:val="continue"/>
            <w:textDirection w:val="lrTb"/>
            <w:vAlign w:val="center"/>
          </w:tcPr>
          <w:p>
            <w:pPr>
              <w:pStyle w:val="000001"/>
              <w:spacing w:line="3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vMerge w:val="continue"/>
            <w:textDirection w:val="lrTb"/>
            <w:vAlign w:val="top"/>
          </w:tcPr>
          <w:p>
            <w:pPr>
              <w:pStyle w:val="000001"/>
              <w:spacing w:line="34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4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省级期刊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1.5</w:t>
            </w:r>
          </w:p>
        </w:tc>
        <w:tc>
          <w:tcPr>
            <w:tcW w:w="4440" w:type="dxa"/>
            <w:vMerge w:val="continue"/>
            <w:textDirection w:val="lrTb"/>
            <w:vAlign w:val="top"/>
          </w:tcPr>
          <w:p>
            <w:pPr>
              <w:pStyle w:val="000001"/>
              <w:spacing w:line="34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wBefore/>
          <w:cantSplit/>
          <w:trHeight w:val="584" w:hRule="atLeast"/>
        </w:trPr>
        <w:tc>
          <w:tcPr>
            <w:tcW w:w="833" w:type="dxa"/>
            <w:vMerge w:val="restart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公开发明专利</w:t>
            </w:r>
          </w:p>
        </w:tc>
        <w:tc>
          <w:tcPr>
            <w:tcW w:w="2851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发明专利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4440" w:type="dxa"/>
            <w:vMerge w:val="continue"/>
            <w:textDirection w:val="lrTb"/>
            <w:vAlign w:val="top"/>
          </w:tcPr>
          <w:p>
            <w:pPr>
              <w:pStyle w:val="000001"/>
              <w:spacing w:line="34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wBefore/>
          <w:cantSplit/>
          <w:trHeight w:val="584" w:hRule="atLeast"/>
        </w:trPr>
        <w:tc>
          <w:tcPr>
            <w:tcW w:w="833" w:type="dxa"/>
            <w:vMerge w:val="continue"/>
            <w:textDirection w:val="lrTb"/>
            <w:vAlign w:val="center"/>
          </w:tcPr>
          <w:p>
            <w:pPr>
              <w:pStyle w:val="000001"/>
              <w:spacing w:line="3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1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实用新型专利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4440" w:type="dxa"/>
            <w:vMerge w:val="continue"/>
            <w:textDirection w:val="lrTb"/>
            <w:vAlign w:val="top"/>
          </w:tcPr>
          <w:p>
            <w:pPr>
              <w:pStyle w:val="000001"/>
              <w:spacing w:line="34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wBefore/>
          <w:cantSplit/>
          <w:trHeight w:val="584" w:hRule="atLeast"/>
        </w:trPr>
        <w:tc>
          <w:tcPr>
            <w:tcW w:w="833" w:type="dxa"/>
            <w:vMerge w:val="continue"/>
            <w:textDirection w:val="lrTb"/>
            <w:vAlign w:val="center"/>
          </w:tcPr>
          <w:p>
            <w:pPr>
              <w:pStyle w:val="000001"/>
              <w:spacing w:line="34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51" w:type="dxa"/>
            <w:gridSpan w:val="2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外观设计专利</w:t>
            </w:r>
          </w:p>
        </w:tc>
        <w:tc>
          <w:tcPr>
            <w:tcW w:w="1596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4440" w:type="dxa"/>
            <w:vMerge w:val="continue"/>
            <w:textDirection w:val="lrTb"/>
            <w:vAlign w:val="top"/>
          </w:tcPr>
          <w:p>
            <w:pPr>
              <w:pStyle w:val="000001"/>
              <w:spacing w:line="34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rPr>
          <w:wBefore/>
          <w:cantSplit/>
          <w:trHeight w:val="584" w:hRule="atLeast"/>
        </w:trPr>
        <w:tc>
          <w:tcPr>
            <w:tcW w:w="833" w:type="dxa"/>
            <w:textDirection w:val="lrTb"/>
            <w:vAlign w:val="center"/>
          </w:tcPr>
          <w:p>
            <w:pPr>
              <w:pStyle w:val="000001"/>
              <w:spacing w:line="340" w:lineRule="atLeast"/>
              <w:ind/>
              <w:jc w:val="center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备注</w:t>
            </w:r>
          </w:p>
        </w:tc>
        <w:tc>
          <w:tcPr>
            <w:tcW w:w="8887" w:type="dxa"/>
            <w:gridSpan w:val="4"/>
            <w:textDirection w:val="lrTb"/>
            <w:vAlign w:val="center"/>
          </w:tcPr>
          <w:p>
            <w:pPr>
              <w:pStyle w:val="000001"/>
              <w:numPr>
                <w:ilvl w:val="0"/>
                <w:numId w:val="1"/>
              </w:numPr>
              <w:spacing w:line="340" w:lineRule="atLeast"/>
              <w:ind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参加学术讲座每人每次加0.1分，以班级记录为准。</w:t>
            </w:r>
          </w:p>
          <w:p>
            <w:pPr>
              <w:pStyle w:val="000001"/>
              <w:numPr>
                <w:ilvl w:val="0"/>
                <w:numId w:val="1"/>
              </w:numPr>
              <w:spacing w:line="340" w:lineRule="atLeast"/>
              <w:ind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参加非学校承办或者组织的网络知识类竞赛，不予加分。</w:t>
            </w:r>
          </w:p>
          <w:p>
            <w:pPr>
              <w:pStyle w:val="000001"/>
              <w:numPr>
                <w:ilvl w:val="0"/>
                <w:numId w:val="1"/>
              </w:numPr>
              <w:spacing w:line="340" w:lineRule="atLeast"/>
              <w:ind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作品被非权威机构或者报纸期刊收录，按照每件加0.2分，获一、二、三等奖则按0.5/0.4/0.3加分，收录与获奖累计加分不超过1分。</w:t>
            </w:r>
          </w:p>
        </w:tc>
      </w:tr>
    </w:tbl>
    <w:p>
      <w:pPr>
        <w:pStyle w:val="000001"/>
        <w:ind/>
        <w:rPr>
          <w:rFonts w:ascii="Times New Roman" w:hAnsi="Times New Roman" w:cs="Times New Roman"/>
          <w:b/>
          <w:bCs/>
          <w:color w:val="000000"/>
          <w:sz w:val="24"/>
        </w:rPr>
      </w:pPr>
    </w:p>
    <w:p>
      <w:pPr>
        <w:pStyle w:val="000001"/>
        <w:ind/>
        <w:rPr>
          <w:rFonts w:hint="eastAsia"/>
          <w:color w:val="000000"/>
        </w:rPr>
      </w:pPr>
    </w:p>
    <w:p>
      <w:pPr>
        <w:pStyle w:val="000001"/>
        <w:spacing w:line="360" w:lineRule="auto"/>
        <w:ind w:firstLine="482" w:firstLineChars="200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</w:rPr>
        <w:t>二</w:t>
      </w:r>
      <w:r>
        <w:rPr>
          <w:rFonts w:ascii="Times New Roman" w:hAnsi="Times New Roman" w:cs="Times New Roman"/>
          <w:b/>
          <w:bCs/>
          <w:color w:val="000000"/>
          <w:sz w:val="24"/>
        </w:rPr>
        <w:t>、各类资格技能加分</w:t>
      </w:r>
    </w:p>
    <w:p>
      <w:pPr>
        <w:pStyle w:val="000001"/>
        <w:spacing w:line="360" w:lineRule="auto"/>
        <w:ind w:firstLine="420"/>
        <w:rPr>
          <w:rFonts w:hint="eastAsia"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（1）</w:t>
      </w:r>
      <w:r>
        <w:rPr>
          <w:rFonts w:hint="eastAsia" w:ascii="Times New Roman" w:hAnsi="Times New Roman" w:cs="Times New Roman"/>
          <w:color w:val="000000"/>
          <w:sz w:val="24"/>
        </w:rPr>
        <w:t>学年内参加无偿献血加0.1分，不累计加分，以献血证为准；</w:t>
      </w:r>
    </w:p>
    <w:p>
      <w:pPr>
        <w:pStyle w:val="000001"/>
        <w:spacing w:line="360" w:lineRule="auto"/>
        <w:ind w:firstLine="420"/>
        <w:rPr>
          <w:rFonts w:hint="eastAsia"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（2）学年内参加普通话考试获得二乙以上成绩加0.5分，以普通话证为准；学年内获得的教师资格证书加0.6分。</w:t>
      </w:r>
    </w:p>
    <w:p>
      <w:pPr>
        <w:pStyle w:val="000001"/>
        <w:spacing w:line="360" w:lineRule="auto"/>
        <w:ind w:firstLine="420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（3）获国家认定的正规发放的资质、技能证书加分，由学院认定。</w:t>
      </w:r>
    </w:p>
    <w:p>
      <w:pPr>
        <w:pStyle w:val="000001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pStyle w:val="000001"/>
        <w:spacing w:line="36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三、特色文艺活动加分</w:t>
      </w:r>
    </w:p>
    <w:p>
      <w:pPr>
        <w:pStyle w:val="000001"/>
        <w:spacing w:line="360" w:lineRule="auto"/>
        <w:ind w:firstLine="480" w:firstLineChars="200"/>
        <w:rPr>
          <w:rFonts w:hint="eastAsia"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（1）</w:t>
      </w:r>
      <w:r>
        <w:rPr>
          <w:rFonts w:hint="eastAsia" w:ascii="Times New Roman" w:hAnsi="Times New Roman" w:cs="Times New Roman"/>
          <w:color w:val="000000"/>
          <w:sz w:val="24"/>
        </w:rPr>
        <w:t>一般类文艺活动加分标准参照学校规则；</w:t>
      </w:r>
    </w:p>
    <w:p>
      <w:pPr>
        <w:pStyle w:val="000001"/>
        <w:spacing w:line="360" w:lineRule="auto"/>
        <w:ind w:firstLine="480" w:firstLineChars="200"/>
        <w:rPr>
          <w:rFonts w:hint="eastAsia"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（2）参加文艺展演活动并获奖，按照省级1.2分/人、市级0.6分/人、校级0.4分/人进行对应加分；</w:t>
      </w:r>
    </w:p>
    <w:p>
      <w:pPr>
        <w:pStyle w:val="000001"/>
        <w:spacing w:line="360" w:lineRule="auto"/>
        <w:ind w:firstLine="480" w:firstLineChars="200"/>
        <w:rPr>
          <w:rFonts w:hint="eastAsia"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（3）参加学院组织的文体活动并获奖，按照一等奖0.6分/人、二等奖0.4分/人、三等奖0.2分/人进行对应加分；</w:t>
      </w:r>
    </w:p>
    <w:p>
      <w:pPr>
        <w:pStyle w:val="000001"/>
        <w:spacing w:line="360" w:lineRule="auto"/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（4）文艺类加分最高上限为</w:t>
      </w:r>
      <w:r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hint="eastAsia" w:ascii="Times New Roman" w:hAnsi="Times New Roman" w:cs="Times New Roman"/>
          <w:color w:val="000000"/>
          <w:sz w:val="24"/>
        </w:rPr>
        <w:t>分。</w:t>
      </w:r>
    </w:p>
    <w:p>
      <w:pPr>
        <w:pStyle w:val="000001"/>
        <w:ind/>
        <w:rPr>
          <w:rFonts w:hint="eastAsia" w:ascii="宋体" w:hAnsi="宋体"/>
          <w:color w:val="000000"/>
          <w:sz w:val="24"/>
        </w:rPr>
      </w:pPr>
    </w:p>
    <w:p>
      <w:pPr>
        <w:pStyle w:val="000001"/>
        <w:spacing w:line="360" w:lineRule="auto"/>
        <w:ind w:firstLine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四、德育素质测评发展分</w:t>
      </w:r>
    </w:p>
    <w:p>
      <w:pPr>
        <w:pStyle w:val="000001"/>
        <w:spacing w:line="360" w:lineRule="auto"/>
        <w:ind w:firstLine="420"/>
        <w:rPr>
          <w:rFonts w:hint="eastAsia"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（1）政治表现</w:t>
      </w:r>
      <w:r>
        <w:rPr>
          <w:rFonts w:hint="eastAsia" w:ascii="Times New Roman" w:hAnsi="Times New Roman" w:cs="Times New Roman"/>
          <w:color w:val="000000"/>
          <w:sz w:val="24"/>
        </w:rPr>
        <w:t>加分（3分）：参加“党的基础知识培训”并取得结业证书获0.3分；参加“常州大学青年马克思主义学院”培训并取得结业证书获0.2分、优秀学员0.6分；“美术与设计学院青年马克思主义学院”培训并取得结业证书获0.1分、优秀学员0.5分、优秀团队0.3分/人。同一项活动不重复加分。</w:t>
      </w:r>
    </w:p>
    <w:p>
      <w:pPr>
        <w:pStyle w:val="000001"/>
        <w:spacing w:line="360" w:lineRule="auto"/>
        <w:ind w:firstLine="420"/>
        <w:rPr>
          <w:rFonts w:hint="eastAsia"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2）道德修养加分（3分）：参加省级以上志愿服务加0.6分、获奖加1分（团队0.8分/人），参加市级志愿服务加0.4分、获奖加0.8分（团队0.6分/人），参加校级志愿服务加0.2分、获奖加0.6分（团队0.4分/人），参加院级志愿服务加0.1分、获奖加0.4分（团队0.2分/人）。同一项活动不重复加分。</w:t>
      </w:r>
    </w:p>
    <w:p>
      <w:pPr>
        <w:pStyle w:val="000001"/>
        <w:spacing w:line="360" w:lineRule="auto"/>
        <w:ind w:firstLine="420"/>
        <w:rPr>
          <w:rFonts w:hint="eastAsia"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3）学习态度加分（3分）：参加省级以上社会实践加0.6分、获奖加1分（团队0.8分/人），参加市级社会实践加0.4分、获奖加0.8分（团队0.6分/人），参加校级社会实践加0.2分、获奖加0.6分（团队0.4分/人），参加院级社会实践加0.1分、获奖加0.4分（团队0.2分/人）。同一项活动不重复加分。</w:t>
      </w:r>
    </w:p>
    <w:p>
      <w:pPr>
        <w:pStyle w:val="000001"/>
        <w:spacing w:line="360" w:lineRule="auto"/>
        <w:ind w:firstLine="660" w:firstLineChars="275"/>
        <w:rPr>
          <w:rFonts w:hint="eastAsia"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减</w:t>
      </w:r>
      <w:r>
        <w:rPr>
          <w:rFonts w:hint="eastAsia" w:ascii="Times New Roman" w:hAnsi="Times New Roman" w:cs="Times New Roman"/>
          <w:color w:val="000000"/>
          <w:sz w:val="24"/>
        </w:rPr>
        <w:t>分：参加“党的基础知识培训”、常州大学青年马克思主义学院培训、美术与设计学院青年马克思主义学院培训，未取得结业证书减0.1分。</w:t>
      </w:r>
    </w:p>
    <w:p>
      <w:pPr>
        <w:pStyle w:val="000001"/>
        <w:spacing w:line="360" w:lineRule="auto"/>
        <w:ind w:firstLine="420"/>
        <w:rPr>
          <w:rFonts w:hint="eastAsia" w:ascii="Times New Roman" w:hAnsi="Times New Roman" w:cs="Times New Roman"/>
          <w:b/>
          <w:bCs/>
          <w:color w:val="000000"/>
          <w:sz w:val="24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</w:rPr>
        <w:t>五、宿舍文化活动加分</w:t>
      </w:r>
    </w:p>
    <w:p>
      <w:pPr>
        <w:pStyle w:val="000001"/>
        <w:spacing w:line="360" w:lineRule="auto"/>
        <w:ind w:firstLine="420"/>
        <w:rPr>
          <w:rFonts w:hint="eastAsia" w:ascii="Times New Roman" w:hAnsi="Times New Roman" w:cs="Times New Roman"/>
          <w:color w:val="000000"/>
          <w:sz w:val="24"/>
        </w:rPr>
      </w:pPr>
      <w:r>
        <w:rPr>
          <w:rFonts w:hint="eastAsia" w:ascii="Times New Roman" w:hAnsi="Times New Roman" w:cs="Times New Roman"/>
          <w:color w:val="000000"/>
          <w:sz w:val="24"/>
        </w:rPr>
        <w:t>（1）校级“洁齐美”宿舍评比获一、二、三等奖，按0.4—0.2加分。院级“洁齐美”宿舍评比获一、二、三等奖，按0.3—0.1加分。同一项活动不重复加分。</w:t>
      </w:r>
    </w:p>
    <w:sectPr>
      <w:type w:val="nextPage"/>
      <w:pgSz w:w="11906" w:h="16838"/>
      <w:pgMar w:top="1440" w:right="1800" w:bottom="1440" w:left="1800" w:header="851" w:footer="992" w:gutter="0"/>
      <w:cols/>
      <w:docGrid w:type="lines" w:linePitch="312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1">
    <w:nsid w:val="27D918F2"/>
    <w:multiLevelType w:val="singleLevel"/>
    <w:tmpl w:val="27D918F2"/>
    <w:lvl w:ilvl="0">
      <w:start w:val="1"/>
      <w:numFmt w:val="decimal"/>
      <w:suff w:val="nothing"/>
      <w:lvlText w:val="（%1）"/>
      <w:lvlJc w:val="left"/>
      <w:pPr>
        <w:pStyle w:val="000001"/>
        <w:ind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0"/>
  <w:displayVerticalDrawingGridEvery w:val="2"/>
  <w:characterSpacingControl w:val="compressPunctuation"/>
  <w:footnotePr/>
  <w:end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kern w:val="2"/>
        <w:sz w:val="21"/>
        <w:szCs w:val="22"/>
        <w:lang w:val="en-US"/>
      </w:rPr>
    </w:rPrDefault>
    <w:pPrDefault>
      <w:pPr>
        <w:tabs/>
        <w:autoSpaceDE/>
        <w:autoSpaceDN/>
        <w:snapToGrid/>
        <w:spacing/>
        <w:ind/>
      </w:pPr>
    </w:pPrDefault>
  </w:docDefaults>
  <w:style w:type="paragraph" w:styleId="000004">
    <w:name w:val="footer"/>
    <w:basedOn w:val="000001"/>
    <w:next w:val="000004"/>
    <w:link w:val="000005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cs="宋体"/>
      <w:kern w:val="2"/>
      <w:sz w:val="21"/>
      <w:szCs w:val="22"/>
      <w:lang w:val="en-US" w:eastAsia="zh-CN" w:bidi="ar-SA"/>
    </w:rPr>
  </w:style>
  <w:style w:type="character" w:styleId="000007">
    <w:name w:val="页眉 字符"/>
    <w:next w:val="000007"/>
    <w:link w:val="000006"/>
    <w:rPr>
      <w:rFonts w:cs="宋体"/>
      <w:kern w:val="2"/>
      <w:sz w:val="18"/>
      <w:szCs w:val="18"/>
    </w:rPr>
  </w:style>
  <w:style w:type="paragraph" w:styleId="000006">
    <w:name w:val="header"/>
    <w:basedOn w:val="000001"/>
    <w:next w:val="000006"/>
    <w:link w:val="000007"/>
    <w:pP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styleId="000002">
    <w:name w:val="Default Paragraph Font"/>
    <w:next w:val="000002"/>
    <w:link w:val="000001"/>
    <w:semiHidden/>
  </w:style>
  <w:style w:type="table" w:styleId="000003">
    <w:name w:val="Normal Table"/>
    <w:next w:val="000003"/>
    <w:link w:val="000001"/>
    <w:semiHidden/>
    <w:qFormat/>
  </w:style>
  <w:style w:type="character" w:styleId="000005">
    <w:name w:val="页脚 字符"/>
    <w:next w:val="000005"/>
    <w:link w:val="000004"/>
    <w:rPr>
      <w:rFonts w:cs="宋体"/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thm15="http://schemas.microsoft.com/office/thememl/2012/main" xmlns:mc="http://schemas.openxmlformats.org/markup-compatibility/2006" name="Office 主题​​" mc:Ignorable="thm15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2025-09-04T14:26:12Z</dcterms:created>
  <dcterms:modified xsi:type="dcterms:W3CDTF">2025-09-04T14:26:12Z</dcterms:modified>
</cp:coreProperties>
</file>